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5B902768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</w:t>
      </w:r>
      <w:r w:rsidR="00F117D8">
        <w:rPr>
          <w:b/>
        </w:rPr>
        <w:t xml:space="preserve"> пересмотра</w:t>
      </w:r>
      <w:r w:rsidRPr="00BB547F">
        <w:rPr>
          <w:b/>
        </w:rPr>
        <w:t xml:space="preserve"> национального стандарта</w:t>
      </w:r>
    </w:p>
    <w:p w14:paraId="404B4266" w14:textId="007491D1" w:rsidR="004C34C8" w:rsidRDefault="00BC7A5A" w:rsidP="00F117D8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bookmarkStart w:id="0" w:name="_Hlk158973762"/>
      <w:proofErr w:type="gramStart"/>
      <w:r w:rsidRPr="00E64ED1">
        <w:rPr>
          <w:b/>
        </w:rPr>
        <w:t>СТ</w:t>
      </w:r>
      <w:proofErr w:type="gramEnd"/>
      <w:r w:rsidRPr="00E64ED1">
        <w:rPr>
          <w:b/>
        </w:rPr>
        <w:t xml:space="preserve"> РК </w:t>
      </w:r>
      <w:r w:rsidR="00F117D8">
        <w:rPr>
          <w:b/>
        </w:rPr>
        <w:t xml:space="preserve">3621 </w:t>
      </w:r>
      <w:r>
        <w:rPr>
          <w:b/>
        </w:rPr>
        <w:t>«</w:t>
      </w:r>
      <w:r w:rsidR="00F117D8">
        <w:rPr>
          <w:b/>
        </w:rPr>
        <w:t>Батареи стартерные свинцово-кислотные. Часть 1. Общие требования и методы испытаний</w:t>
      </w:r>
      <w:r>
        <w:rPr>
          <w:b/>
        </w:rPr>
        <w:t>»</w:t>
      </w:r>
      <w:bookmarkEnd w:id="0"/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15DD1E71" w14:textId="130ABD45" w:rsidR="009E70C7" w:rsidRDefault="009E70C7" w:rsidP="00F117D8">
      <w:pPr>
        <w:widowControl w:val="0"/>
        <w:tabs>
          <w:tab w:val="left" w:pos="5610"/>
        </w:tabs>
        <w:jc w:val="both"/>
      </w:pPr>
    </w:p>
    <w:p w14:paraId="06F7C4EC" w14:textId="16FAB099" w:rsidR="00F45A2C" w:rsidRPr="00D432FB" w:rsidRDefault="00F117D8" w:rsidP="00F45A2C">
      <w:pPr>
        <w:widowControl w:val="0"/>
        <w:tabs>
          <w:tab w:val="left" w:pos="5610"/>
        </w:tabs>
        <w:ind w:firstLine="567"/>
        <w:jc w:val="both"/>
      </w:pPr>
      <w:r>
        <w:t>Пересмотр</w:t>
      </w:r>
      <w:r w:rsidR="00D432FB" w:rsidRPr="00D432FB">
        <w:t xml:space="preserve"> документа по стандартизации </w:t>
      </w:r>
      <w:proofErr w:type="gramStart"/>
      <w:r>
        <w:t>СТ</w:t>
      </w:r>
      <w:proofErr w:type="gramEnd"/>
      <w:r>
        <w:t xml:space="preserve"> РК 3621-2020 </w:t>
      </w:r>
      <w:r w:rsidR="008D27BE">
        <w:t>предполагает актуализацию нормативных документов, дополняется условным обозначением, обязательной маркировкой, требованием безопасности, процедуре заряда перед испытанием и правила приемки.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22875762" w:rsidR="00E64ED1" w:rsidRDefault="008D27BE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>
        <w:rPr>
          <w:rFonts w:eastAsia="Consolas"/>
          <w:lang w:eastAsia="en-US"/>
        </w:rPr>
        <w:t>Инициативная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213D1E12"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 xml:space="preserve">является </w:t>
      </w:r>
      <w:r w:rsidR="008D27BE">
        <w:t>свинцово-кислотные аккумуляторные батареи с номинальным напряжением 12</w:t>
      </w:r>
      <w:proofErr w:type="gramStart"/>
      <w:r w:rsidR="008D27BE">
        <w:t xml:space="preserve"> В</w:t>
      </w:r>
      <w:proofErr w:type="gramEnd"/>
      <w:r w:rsidR="008D27BE">
        <w:t>, 24 В</w:t>
      </w:r>
      <w:r w:rsidR="00D432FB">
        <w:t>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3A436A1B" w:rsidR="00D432FB" w:rsidRDefault="009C13C9" w:rsidP="00D432FB">
      <w:pPr>
        <w:widowControl w:val="0"/>
        <w:tabs>
          <w:tab w:val="left" w:pos="5610"/>
        </w:tabs>
        <w:ind w:firstLine="567"/>
        <w:jc w:val="both"/>
        <w:rPr>
          <w:bCs/>
        </w:rPr>
      </w:pPr>
      <w:r w:rsidRPr="009C13C9">
        <w:rPr>
          <w:bCs/>
        </w:rPr>
        <w:t>Настоящий стандарт взаимосвязан с техническим регламентом</w:t>
      </w:r>
      <w:r w:rsidR="008D27BE" w:rsidRPr="008D27BE">
        <w:rPr>
          <w:bCs/>
        </w:rPr>
        <w:t xml:space="preserve"> Таможенного с</w:t>
      </w:r>
      <w:r>
        <w:rPr>
          <w:bCs/>
        </w:rPr>
        <w:t>оюза</w:t>
      </w:r>
      <w:r w:rsidR="008D27BE" w:rsidRPr="008D27BE">
        <w:rPr>
          <w:bCs/>
        </w:rPr>
        <w:t xml:space="preserve"> «О безопасности колесных транспортных средств» (</w:t>
      </w:r>
      <w:proofErr w:type="gramStart"/>
      <w:r w:rsidR="008D27BE" w:rsidRPr="008D27BE">
        <w:rPr>
          <w:bCs/>
        </w:rPr>
        <w:t>ТР</w:t>
      </w:r>
      <w:proofErr w:type="gramEnd"/>
      <w:r w:rsidR="008D27BE" w:rsidRPr="008D27BE">
        <w:rPr>
          <w:bCs/>
        </w:rPr>
        <w:t xml:space="preserve"> ТС 018/2011) Решением КТС от 09 декабря 2011 года №877.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37F84091" w:rsidR="007D6EEA" w:rsidRDefault="009C13C9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C13C9">
        <w:rPr>
          <w:lang w:val="kk-KZ"/>
        </w:rPr>
        <w:t>Предполагаемыми пользователями стандарта являются компетентные государственные органы</w:t>
      </w:r>
      <w:r>
        <w:rPr>
          <w:lang w:val="kk-KZ"/>
        </w:rPr>
        <w:t>, такие как</w:t>
      </w:r>
      <w:r w:rsidR="00F45A2C" w:rsidRPr="00B27E10">
        <w:rPr>
          <w:lang w:val="kk-KZ"/>
        </w:rPr>
        <w:t xml:space="preserve"> </w:t>
      </w:r>
      <w:r w:rsidR="00B27E10">
        <w:rPr>
          <w:lang w:val="kk-KZ"/>
        </w:rPr>
        <w:t>Комитет индустриального развития Министерства промышленности и строительства, Комитет автомабильных д</w:t>
      </w:r>
      <w:r>
        <w:rPr>
          <w:lang w:val="kk-KZ"/>
        </w:rPr>
        <w:t>орог Министерства транспорта РК,</w:t>
      </w:r>
      <w:r w:rsidRPr="009C13C9">
        <w:t xml:space="preserve"> </w:t>
      </w:r>
      <w:r w:rsidRPr="009C13C9">
        <w:rPr>
          <w:lang w:val="kk-KZ"/>
        </w:rPr>
        <w:t>технические комитеты по стандартизации, аккредитованные ассоциации, заинтересованн</w:t>
      </w:r>
      <w:r>
        <w:rPr>
          <w:lang w:val="kk-KZ"/>
        </w:rPr>
        <w:t xml:space="preserve">ые организации – производители </w:t>
      </w:r>
      <w:r w:rsidRPr="009C13C9">
        <w:rPr>
          <w:lang w:val="kk-KZ"/>
        </w:rPr>
        <w:t>и т.д.</w:t>
      </w:r>
    </w:p>
    <w:p w14:paraId="7BDDB71F" w14:textId="77777777" w:rsidR="00F45A2C" w:rsidRPr="009C13C9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  <w:lang w:val="kk-KZ"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986CBA8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60FF9A8B" w14:textId="77777777" w:rsidR="009C13C9" w:rsidRDefault="009C13C9" w:rsidP="00390FC1">
      <w:pPr>
        <w:widowControl w:val="0"/>
        <w:tabs>
          <w:tab w:val="left" w:pos="5610"/>
        </w:tabs>
        <w:ind w:firstLine="567"/>
        <w:jc w:val="both"/>
        <w:rPr>
          <w:bCs/>
        </w:rPr>
      </w:pPr>
      <w:r w:rsidRPr="009C13C9">
        <w:rPr>
          <w:bCs/>
        </w:rPr>
        <w:t xml:space="preserve">Настоящий стандарт модифицирован по отношению к международному стандарту IEC 60095-1:2018 </w:t>
      </w:r>
      <w:proofErr w:type="spellStart"/>
      <w:r w:rsidRPr="009C13C9">
        <w:rPr>
          <w:bCs/>
        </w:rPr>
        <w:t>Lead-acid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starter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batteries</w:t>
      </w:r>
      <w:proofErr w:type="spellEnd"/>
      <w:r w:rsidRPr="009C13C9">
        <w:rPr>
          <w:bCs/>
        </w:rPr>
        <w:t xml:space="preserve"> – </w:t>
      </w:r>
      <w:proofErr w:type="spellStart"/>
      <w:r w:rsidRPr="009C13C9">
        <w:rPr>
          <w:bCs/>
        </w:rPr>
        <w:t>Part</w:t>
      </w:r>
      <w:proofErr w:type="spellEnd"/>
      <w:r w:rsidRPr="009C13C9">
        <w:rPr>
          <w:bCs/>
        </w:rPr>
        <w:t xml:space="preserve"> 1: </w:t>
      </w:r>
      <w:proofErr w:type="spellStart"/>
      <w:proofErr w:type="gramStart"/>
      <w:r w:rsidRPr="009C13C9">
        <w:rPr>
          <w:bCs/>
        </w:rPr>
        <w:t>General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requirements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and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methods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of</w:t>
      </w:r>
      <w:proofErr w:type="spellEnd"/>
      <w:r w:rsidRPr="009C13C9">
        <w:rPr>
          <w:bCs/>
        </w:rPr>
        <w:t xml:space="preserve"> </w:t>
      </w:r>
      <w:proofErr w:type="spellStart"/>
      <w:r w:rsidRPr="009C13C9">
        <w:rPr>
          <w:bCs/>
        </w:rPr>
        <w:t>test</w:t>
      </w:r>
      <w:proofErr w:type="spellEnd"/>
      <w:r w:rsidRPr="009C13C9">
        <w:rPr>
          <w:bCs/>
        </w:rPr>
        <w:t xml:space="preserve"> (Батареи стартерные свинцово-кислотные.</w:t>
      </w:r>
      <w:proofErr w:type="gramEnd"/>
      <w:r w:rsidRPr="009C13C9">
        <w:rPr>
          <w:bCs/>
        </w:rPr>
        <w:t xml:space="preserve"> Часть 1. </w:t>
      </w:r>
      <w:proofErr w:type="gramStart"/>
      <w:r w:rsidRPr="009C13C9">
        <w:rPr>
          <w:bCs/>
        </w:rPr>
        <w:t xml:space="preserve">Общие требования и методы испытаний) путем внесения дополнительных положений, что обусловлено отсутствием требований к узлам пайки, токоведущим деталям по току, переносным устройствам и </w:t>
      </w:r>
      <w:r w:rsidRPr="009C13C9">
        <w:rPr>
          <w:bCs/>
        </w:rPr>
        <w:lastRenderedPageBreak/>
        <w:t>температурному режиму работоспособности батарей и дополняется условным обозначением, обязательной маркировкой, требованием безопасности, процедуре заряда перед испытанием и правила приемки</w:t>
      </w:r>
      <w:r>
        <w:rPr>
          <w:bCs/>
        </w:rPr>
        <w:t xml:space="preserve">. </w:t>
      </w:r>
      <w:proofErr w:type="gramEnd"/>
    </w:p>
    <w:p w14:paraId="12E3BDEB" w14:textId="483EF508" w:rsidR="007D6EEA" w:rsidRPr="00DD0F40" w:rsidRDefault="009C13C9" w:rsidP="00390FC1">
      <w:pPr>
        <w:widowControl w:val="0"/>
        <w:tabs>
          <w:tab w:val="left" w:pos="5610"/>
        </w:tabs>
        <w:ind w:firstLine="567"/>
        <w:jc w:val="both"/>
        <w:rPr>
          <w:bCs/>
        </w:rPr>
      </w:pPr>
      <w:r>
        <w:rPr>
          <w:bCs/>
        </w:rPr>
        <w:t xml:space="preserve">Так же действующего </w:t>
      </w:r>
      <w:proofErr w:type="gramStart"/>
      <w:r w:rsidR="00DD0F40" w:rsidRPr="00DD0F40">
        <w:rPr>
          <w:bCs/>
        </w:rPr>
        <w:t>СТ</w:t>
      </w:r>
      <w:proofErr w:type="gramEnd"/>
      <w:r w:rsidR="00DD0F40" w:rsidRPr="00DD0F40">
        <w:rPr>
          <w:bCs/>
        </w:rPr>
        <w:t xml:space="preserve"> РК 3621 «Батареи стартерные свинцово-кислотные. Часть 1. Общие требования и методы испытаний»</w:t>
      </w:r>
      <w:r>
        <w:rPr>
          <w:bCs/>
        </w:rPr>
        <w:t>.</w:t>
      </w:r>
      <w:bookmarkStart w:id="1" w:name="_GoBack"/>
      <w:bookmarkEnd w:id="1"/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728A89B5" w:rsidR="007D6EEA" w:rsidRPr="00F117D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к</w:t>
      </w:r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 xml:space="preserve">л, здание «Эталонный центр», тел. </w:t>
      </w:r>
      <w:r w:rsidRPr="00F117D8">
        <w:rPr>
          <w:rFonts w:eastAsiaTheme="minorEastAsia"/>
          <w:color w:val="000000" w:themeColor="text1"/>
        </w:rPr>
        <w:t xml:space="preserve">+7 (7172) 98-06-36, </w:t>
      </w:r>
      <w:r w:rsidR="00390FC1">
        <w:rPr>
          <w:rFonts w:eastAsiaTheme="minorEastAsia"/>
          <w:color w:val="000000" w:themeColor="text1"/>
        </w:rPr>
        <w:t>е</w:t>
      </w:r>
      <w:r w:rsidR="00390FC1" w:rsidRPr="00F117D8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F117D8">
        <w:rPr>
          <w:rFonts w:eastAsiaTheme="minorEastAsia"/>
          <w:color w:val="000000" w:themeColor="text1"/>
        </w:rPr>
        <w:t xml:space="preserve">: </w:t>
      </w:r>
      <w:hyperlink r:id="rId9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F117D8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F117D8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F117D8">
          <w:rPr>
            <w:rStyle w:val="a9"/>
            <w:rFonts w:eastAsiaTheme="minorEastAsia"/>
          </w:rPr>
          <w:t>.</w:t>
        </w:r>
        <w:proofErr w:type="spellStart"/>
        <w:r w:rsidR="00390FC1">
          <w:rPr>
            <w:rStyle w:val="a9"/>
            <w:rFonts w:eastAsiaTheme="minorEastAsia"/>
            <w:lang w:val="en-US"/>
          </w:rPr>
          <w:t>kz</w:t>
        </w:r>
        <w:proofErr w:type="spellEnd"/>
      </w:hyperlink>
      <w:r w:rsidR="00390FC1" w:rsidRPr="00F117D8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F117D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F117D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F117D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111BAA03" w14:textId="77777777" w:rsidR="00DD0F40" w:rsidRDefault="0079717A" w:rsidP="00390FC1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53770E10" w14:textId="58617EDE" w:rsidR="007D6EEA" w:rsidRDefault="0079717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 w:rsidR="00DD0F40"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                    </w:t>
      </w:r>
      <w:r w:rsidR="00DD0F40">
        <w:rPr>
          <w:rFonts w:eastAsiaTheme="minorEastAsia"/>
          <w:b/>
          <w:color w:val="000000" w:themeColor="text1"/>
        </w:rPr>
        <w:t xml:space="preserve">                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А. </w:t>
      </w:r>
      <w:proofErr w:type="spellStart"/>
      <w:r w:rsidRPr="0079717A">
        <w:rPr>
          <w:rFonts w:eastAsiaTheme="minorEastAsia"/>
          <w:b/>
          <w:color w:val="000000" w:themeColor="text1"/>
        </w:rPr>
        <w:t>Сопбеков</w:t>
      </w:r>
      <w:proofErr w:type="spellEnd"/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751574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F6789" w14:textId="77777777" w:rsidR="003F36DE" w:rsidRDefault="003F36DE" w:rsidP="004C34C8">
      <w:r>
        <w:separator/>
      </w:r>
    </w:p>
  </w:endnote>
  <w:endnote w:type="continuationSeparator" w:id="0">
    <w:p w14:paraId="758C8B7F" w14:textId="77777777" w:rsidR="003F36DE" w:rsidRDefault="003F36DE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2C0D4" w14:textId="77777777" w:rsidR="003F36DE" w:rsidRDefault="003F36DE" w:rsidP="004C34C8">
      <w:r>
        <w:separator/>
      </w:r>
    </w:p>
  </w:footnote>
  <w:footnote w:type="continuationSeparator" w:id="0">
    <w:p w14:paraId="26E3F4A1" w14:textId="77777777" w:rsidR="003F36DE" w:rsidRDefault="003F36DE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30EBD"/>
    <w:rsid w:val="000E6E9A"/>
    <w:rsid w:val="00132DAD"/>
    <w:rsid w:val="00144B14"/>
    <w:rsid w:val="00166BAC"/>
    <w:rsid w:val="001A4706"/>
    <w:rsid w:val="001F202D"/>
    <w:rsid w:val="00221046"/>
    <w:rsid w:val="002530A2"/>
    <w:rsid w:val="002C2FF7"/>
    <w:rsid w:val="002E4877"/>
    <w:rsid w:val="00390FC1"/>
    <w:rsid w:val="00392BE4"/>
    <w:rsid w:val="003F36DE"/>
    <w:rsid w:val="004C34C8"/>
    <w:rsid w:val="004D03BF"/>
    <w:rsid w:val="004D24D1"/>
    <w:rsid w:val="005615D9"/>
    <w:rsid w:val="00611FBD"/>
    <w:rsid w:val="006558B1"/>
    <w:rsid w:val="006B2698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93682"/>
    <w:rsid w:val="008D27BE"/>
    <w:rsid w:val="009307F5"/>
    <w:rsid w:val="009C13C9"/>
    <w:rsid w:val="009E70C7"/>
    <w:rsid w:val="00B218B8"/>
    <w:rsid w:val="00B27E10"/>
    <w:rsid w:val="00BC7A5A"/>
    <w:rsid w:val="00C250A1"/>
    <w:rsid w:val="00CB675A"/>
    <w:rsid w:val="00D432FB"/>
    <w:rsid w:val="00D80C1A"/>
    <w:rsid w:val="00DD0F40"/>
    <w:rsid w:val="00E5693B"/>
    <w:rsid w:val="00E644A1"/>
    <w:rsid w:val="00E64ED1"/>
    <w:rsid w:val="00F117D8"/>
    <w:rsid w:val="00F151B0"/>
    <w:rsid w:val="00F177B2"/>
    <w:rsid w:val="00F45A2C"/>
    <w:rsid w:val="00F65173"/>
    <w:rsid w:val="00F9495D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.berik@ksm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6B28-8CD9-468F-BCE6-7A63EE0F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15</cp:revision>
  <cp:lastPrinted>2023-01-04T10:16:00Z</cp:lastPrinted>
  <dcterms:created xsi:type="dcterms:W3CDTF">2023-06-19T05:57:00Z</dcterms:created>
  <dcterms:modified xsi:type="dcterms:W3CDTF">2024-02-26T13:01:00Z</dcterms:modified>
</cp:coreProperties>
</file>